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World Geography Syllabus</w:t>
      </w:r>
    </w:p>
    <w:p w:rsidR="00000000" w:rsidDel="00000000" w:rsidP="00000000" w:rsidRDefault="00000000" w:rsidRPr="00000000">
      <w:pPr>
        <w:contextualSpacing w:val="0"/>
        <w:jc w:val="center"/>
      </w:pPr>
      <w:r w:rsidDel="00000000" w:rsidR="00000000" w:rsidRPr="00000000">
        <w:rPr>
          <w:b w:val="1"/>
          <w:rtl w:val="0"/>
        </w:rPr>
        <w:t xml:space="preserve">Coach Harrison</w:t>
      </w:r>
    </w:p>
    <w:p w:rsidR="00000000" w:rsidDel="00000000" w:rsidP="00000000" w:rsidRDefault="00000000" w:rsidRPr="00000000">
      <w:pPr>
        <w:contextualSpacing w:val="0"/>
        <w:jc w:val="center"/>
      </w:pPr>
      <w:r w:rsidDel="00000000" w:rsidR="00000000" w:rsidRPr="00000000">
        <w:rPr>
          <w:b w:val="1"/>
          <w:rtl w:val="0"/>
        </w:rPr>
        <w:t xml:space="preserve">Braswell High School, Denton ISD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w:t>
        <w:tab/>
        <w:tab/>
        <w:t xml:space="preserve">Ryan Harrison</w:t>
      </w:r>
    </w:p>
    <w:p w:rsidR="00000000" w:rsidDel="00000000" w:rsidP="00000000" w:rsidRDefault="00000000" w:rsidRPr="00000000">
      <w:pPr>
        <w:contextualSpacing w:val="0"/>
      </w:pPr>
      <w:r w:rsidDel="00000000" w:rsidR="00000000" w:rsidRPr="00000000">
        <w:rPr>
          <w:rtl w:val="0"/>
        </w:rPr>
        <w:t xml:space="preserve">Room Number: </w:t>
        <w:tab/>
        <w:t xml:space="preserve">B211</w:t>
      </w:r>
    </w:p>
    <w:p w:rsidR="00000000" w:rsidDel="00000000" w:rsidP="00000000" w:rsidRDefault="00000000" w:rsidRPr="00000000">
      <w:pPr>
        <w:contextualSpacing w:val="0"/>
      </w:pPr>
      <w:r w:rsidDel="00000000" w:rsidR="00000000" w:rsidRPr="00000000">
        <w:rPr>
          <w:rtl w:val="0"/>
        </w:rPr>
        <w:t xml:space="preserve">Class Time:</w:t>
        <w:tab/>
        <w:tab/>
        <w:t xml:space="preserve">A3, A4, B3, B4</w:t>
      </w:r>
    </w:p>
    <w:p w:rsidR="00000000" w:rsidDel="00000000" w:rsidP="00000000" w:rsidRDefault="00000000" w:rsidRPr="00000000">
      <w:pPr>
        <w:contextualSpacing w:val="0"/>
      </w:pPr>
      <w:r w:rsidDel="00000000" w:rsidR="00000000" w:rsidRPr="00000000">
        <w:rPr>
          <w:rtl w:val="0"/>
        </w:rPr>
        <w:t xml:space="preserve">Phone:</w:t>
        <w:tab/>
        <w:tab/>
        <w:tab/>
        <w:t xml:space="preserve">7798</w:t>
      </w:r>
    </w:p>
    <w:p w:rsidR="00000000" w:rsidDel="00000000" w:rsidP="00000000" w:rsidRDefault="00000000" w:rsidRPr="00000000">
      <w:pPr>
        <w:contextualSpacing w:val="0"/>
      </w:pPr>
      <w:r w:rsidDel="00000000" w:rsidR="00000000" w:rsidRPr="00000000">
        <w:rPr>
          <w:rtl w:val="0"/>
        </w:rPr>
        <w:t xml:space="preserve">Email: </w:t>
        <w:tab/>
        <w:tab/>
        <w:tab/>
      </w:r>
      <w:hyperlink r:id="rId5">
        <w:r w:rsidDel="00000000" w:rsidR="00000000" w:rsidRPr="00000000">
          <w:rPr>
            <w:color w:val="1155cc"/>
            <w:u w:val="single"/>
            <w:rtl w:val="0"/>
          </w:rPr>
          <w:t xml:space="preserve">RHarrison@dentonisd.org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Planning Period: </w:t>
        <w:tab/>
        <w:t xml:space="preserve">2nd Period, 9:55-11:30am</w:t>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Hello and welcome back to school! I am excited to get the school year underway, bringing unique and challenging experiences! In our class, you find structure, yet openness to facilitate academic discussions and learning opportunities. I uphold high academic expectations for each of my students and will challenge you on a daily basis to meet them. Below, I will outline our goals, expectations, procedures, consequences, grading policy, technology use, and academic sequence.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Class Goals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create a supportive environment that maximizes learning.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meet or exceed personal and district academic expectations.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Function as respectable individuals inside and outside of the classroom, representing Braswell High School and Denton ISD in a positive manner.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Classroom Expectations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Arrive to class on time and prepared, including homework, writing utensils, and other required supplies.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There will be respectable behavior by all parties, both physically and verbally, at all times.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Complete tasks as requested, supporting the classroom learning environment.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Classroom Procedures</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Complete all assignments and turn them in by their due date.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Come to class prepared and on time.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Raise your hand to speak or be excused.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Remain in your seat unless alternate instructions have been given or you have received permission.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Use appropriate language and body language at all times.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Classroom Consequences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Student/teacher discussion about behavior.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Student/teacher discussion, moving of seats, contact parents.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Contact parents, detention.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Detention, parent/teacher/student conference creating a discipline plan.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Office referral.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reserves the right to assign detention and refer student to the office prior to previous steps, depending on the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Grading Policy </w:t>
      </w:r>
    </w:p>
    <w:p w:rsidR="00000000" w:rsidDel="00000000" w:rsidP="00000000" w:rsidRDefault="00000000" w:rsidRPr="00000000">
      <w:pPr>
        <w:contextualSpacing w:val="0"/>
      </w:pPr>
      <w:r w:rsidDel="00000000" w:rsidR="00000000" w:rsidRPr="00000000">
        <w:rPr>
          <w:rtl w:val="0"/>
        </w:rPr>
        <w:t xml:space="preserve">It is important to note, that my personal grading standards are in line with the outlined Denton ISD grading policy. If you have any questions regarding the district’s grading policy, it can be accessed through the following link: </w:t>
      </w:r>
      <w:hyperlink r:id="rId6">
        <w:r w:rsidDel="00000000" w:rsidR="00000000" w:rsidRPr="00000000">
          <w:rPr>
            <w:color w:val="1155cc"/>
            <w:u w:val="single"/>
            <w:rtl w:val="0"/>
          </w:rPr>
          <w:t xml:space="preserve">http://www.dentonisd.org/Page/60387</w:t>
        </w:r>
      </w:hyperlink>
      <w:r w:rsidDel="00000000" w:rsidR="00000000" w:rsidRPr="00000000">
        <w:rPr>
          <w:rtl w:val="0"/>
        </w:rPr>
        <w:t xml:space="preserve">. Learning and grades tied to that learning within our classroom will be objective driven and measure mastery of the content. Major summative assignments make up 60% of the grades, while minor summative assignments make up the remaining 40%. Below is a table with examples of various assignments and where they fall.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Major Summative Examples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Minor Summative Examples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Unit Tests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Projects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Research Papers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Essays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Presentations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Common Assessments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Portfolios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Quizzes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Short Writing Assignments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Exit Tickets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Homework Assignments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Rough Drafts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Oral questions given in class</w:t>
            </w:r>
          </w:p>
        </w:tc>
      </w:tr>
    </w:tbl>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per Denton ISD guidelines, students are allowed the opportunity for reassessments. For the opportunity of reassessment, students must complete an assignment sheet prior to each test. An example of this document is found on our Google Classroom. If a student has not completed all assignments listed, they will not take the test on the assigned day. Instead, they will take the test on the reassessment date. They will NOT be allowed the opportunity of reassessment, as they did not take the assessment on the original 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Additionally, homework assignments are expected to be completed on time in their entirety.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Technology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Braswell High School is Bring Your Own Device (BYOD) campus. In our classroom, we will utilize apps and other technology pieces throughout the school year, almost daily. Work, announcements, notes, and other information for our class will be posted through Google Classroom. Effective use of technology in the classroom is imperative. Therefore, improper use of technology will be disciplined accordingly. This includes texting, snapchat, and other web applications. If necessary, the student’s personal technology device will be collected during class and they will be supplied with a chromebook to complete their work. The device will be returned at the end of the class period.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Needed Supplies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Composition Notebooks</w:t>
      </w:r>
    </w:p>
    <w:p w:rsidR="00000000" w:rsidDel="00000000" w:rsidP="00000000" w:rsidRDefault="00000000" w:rsidRPr="00000000">
      <w:pPr>
        <w:contextualSpacing w:val="0"/>
      </w:pPr>
      <w:r w:rsidDel="00000000" w:rsidR="00000000" w:rsidRPr="00000000">
        <w:rPr>
          <w:rtl w:val="0"/>
        </w:rPr>
        <w:t xml:space="preserve">Set of 12 Map Pencils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Academic Sequence </w:t>
      </w:r>
    </w:p>
    <w:p w:rsidR="00000000" w:rsidDel="00000000" w:rsidP="00000000" w:rsidRDefault="00000000" w:rsidRPr="00000000">
      <w:pPr>
        <w:contextualSpacing w:val="0"/>
        <w:jc w:val="center"/>
      </w:pPr>
      <w:r w:rsidDel="00000000" w:rsidR="00000000" w:rsidRPr="00000000">
        <w:rPr>
          <w:b w:val="1"/>
          <w:rtl w:val="0"/>
        </w:rPr>
        <w:t xml:space="preserve">World Geography</w:t>
      </w: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Weeks 1 - 6</w:t>
        <w:tab/>
        <w:tab/>
        <w:tab/>
        <w:tab/>
        <w:t xml:space="preserve">Unit 1: Foundations of Physical Geography  </w:t>
      </w:r>
    </w:p>
    <w:p w:rsidR="00000000" w:rsidDel="00000000" w:rsidP="00000000" w:rsidRDefault="00000000" w:rsidRPr="00000000">
      <w:pPr>
        <w:contextualSpacing w:val="0"/>
      </w:pPr>
      <w:r w:rsidDel="00000000" w:rsidR="00000000" w:rsidRPr="00000000">
        <w:rPr>
          <w:rtl w:val="0"/>
        </w:rPr>
        <w:t xml:space="preserve">Weeks 7-12</w:t>
        <w:tab/>
        <w:tab/>
        <w:tab/>
        <w:tab/>
        <w:t xml:space="preserve">Unit 2: Foundations of Human Geography</w:t>
      </w:r>
    </w:p>
    <w:p w:rsidR="00000000" w:rsidDel="00000000" w:rsidP="00000000" w:rsidRDefault="00000000" w:rsidRPr="00000000">
      <w:pPr>
        <w:contextualSpacing w:val="0"/>
      </w:pPr>
      <w:r w:rsidDel="00000000" w:rsidR="00000000" w:rsidRPr="00000000">
        <w:rPr>
          <w:rtl w:val="0"/>
        </w:rPr>
        <w:t xml:space="preserve">Weeks 13-15</w:t>
        <w:tab/>
        <w:tab/>
        <w:tab/>
        <w:tab/>
        <w:t xml:space="preserve">Unit 3: The United States and Canada</w:t>
      </w:r>
    </w:p>
    <w:p w:rsidR="00000000" w:rsidDel="00000000" w:rsidP="00000000" w:rsidRDefault="00000000" w:rsidRPr="00000000">
      <w:pPr>
        <w:contextualSpacing w:val="0"/>
      </w:pPr>
      <w:r w:rsidDel="00000000" w:rsidR="00000000" w:rsidRPr="00000000">
        <w:rPr>
          <w:rtl w:val="0"/>
        </w:rPr>
        <w:t xml:space="preserve">Weeks 16-17</w:t>
        <w:tab/>
        <w:tab/>
        <w:tab/>
        <w:tab/>
        <w:t xml:space="preserve">Unit 4: Latin America</w:t>
      </w:r>
    </w:p>
    <w:p w:rsidR="00000000" w:rsidDel="00000000" w:rsidP="00000000" w:rsidRDefault="00000000" w:rsidRPr="00000000">
      <w:pPr>
        <w:contextualSpacing w:val="0"/>
      </w:pPr>
      <w:r w:rsidDel="00000000" w:rsidR="00000000" w:rsidRPr="00000000">
        <w:rPr>
          <w:rtl w:val="0"/>
        </w:rPr>
        <w:t xml:space="preserve">Weeks 18-21</w:t>
        <w:tab/>
        <w:tab/>
        <w:tab/>
        <w:tab/>
        <w:t xml:space="preserve">Unit 5: Europe and Russia</w:t>
      </w:r>
    </w:p>
    <w:p w:rsidR="00000000" w:rsidDel="00000000" w:rsidP="00000000" w:rsidRDefault="00000000" w:rsidRPr="00000000">
      <w:pPr>
        <w:contextualSpacing w:val="0"/>
      </w:pPr>
      <w:r w:rsidDel="00000000" w:rsidR="00000000" w:rsidRPr="00000000">
        <w:rPr>
          <w:rtl w:val="0"/>
        </w:rPr>
        <w:t xml:space="preserve">Weeks 22-25</w:t>
        <w:tab/>
        <w:tab/>
        <w:tab/>
        <w:tab/>
        <w:t xml:space="preserve">Unit 6: North Africa, Southwest Asia, &amp; Central Asia  </w:t>
      </w:r>
    </w:p>
    <w:p w:rsidR="00000000" w:rsidDel="00000000" w:rsidP="00000000" w:rsidRDefault="00000000" w:rsidRPr="00000000">
      <w:pPr>
        <w:contextualSpacing w:val="0"/>
      </w:pPr>
      <w:r w:rsidDel="00000000" w:rsidR="00000000" w:rsidRPr="00000000">
        <w:rPr>
          <w:rtl w:val="0"/>
        </w:rPr>
        <w:t xml:space="preserve">Weeks 26-28</w:t>
        <w:tab/>
        <w:tab/>
        <w:tab/>
        <w:tab/>
        <w:t xml:space="preserve">Unit 7: Africa South of the Sahara </w:t>
      </w:r>
    </w:p>
    <w:p w:rsidR="00000000" w:rsidDel="00000000" w:rsidP="00000000" w:rsidRDefault="00000000" w:rsidRPr="00000000">
      <w:pPr>
        <w:contextualSpacing w:val="0"/>
      </w:pPr>
      <w:r w:rsidDel="00000000" w:rsidR="00000000" w:rsidRPr="00000000">
        <w:rPr>
          <w:rtl w:val="0"/>
        </w:rPr>
        <w:t xml:space="preserve">Weeks 29-30</w:t>
        <w:tab/>
        <w:tab/>
        <w:tab/>
        <w:tab/>
        <w:t xml:space="preserve">Unit 8: South Asia </w:t>
      </w:r>
    </w:p>
    <w:p w:rsidR="00000000" w:rsidDel="00000000" w:rsidP="00000000" w:rsidRDefault="00000000" w:rsidRPr="00000000">
      <w:pPr>
        <w:contextualSpacing w:val="0"/>
      </w:pPr>
      <w:r w:rsidDel="00000000" w:rsidR="00000000" w:rsidRPr="00000000">
        <w:rPr>
          <w:rtl w:val="0"/>
        </w:rPr>
        <w:t xml:space="preserve">Weeks 31-34</w:t>
        <w:tab/>
        <w:tab/>
        <w:tab/>
        <w:tab/>
        <w:t xml:space="preserve">Unit 9: East Asia, Southeast Asia, and Oceania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RHarrison@dentonisd.org" TargetMode="External"/><Relationship Id="rId6" Type="http://schemas.openxmlformats.org/officeDocument/2006/relationships/hyperlink" Target="http://www.dentonisd.org/Page/60387" TargetMode="External"/></Relationships>
</file>