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3600"/>
        <w:gridCol w:w="3600"/>
      </w:tblGrid>
      <w:tr w:rsidR="006C0FB8" w:rsidTr="003B14D3">
        <w:tc>
          <w:tcPr>
            <w:tcW w:w="3192" w:type="dxa"/>
          </w:tcPr>
          <w:p w:rsidR="006C0FB8" w:rsidRDefault="006C0FB8" w:rsidP="006C0FB8">
            <w:pPr>
              <w:jc w:val="center"/>
              <w:rPr>
                <w:b/>
                <w:sz w:val="28"/>
                <w:szCs w:val="28"/>
              </w:rPr>
            </w:pPr>
            <w:r>
              <w:rPr>
                <w:b/>
                <w:noProof/>
                <w:sz w:val="28"/>
                <w:szCs w:val="28"/>
              </w:rPr>
              <w:drawing>
                <wp:inline distT="0" distB="0" distL="0" distR="0">
                  <wp:extent cx="990600" cy="1001138"/>
                  <wp:effectExtent l="19050" t="0" r="0" b="0"/>
                  <wp:docPr id="4" name="Picture 1" descr="C:\Documents and Settings\ryeatts\Local Settings\Temporary Internet Files\Content.IE5\O90HMJ8T\MCj029971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yeatts\Local Settings\Temporary Internet Files\Content.IE5\O90HMJ8T\MCj02997150000[1].wmf"/>
                          <pic:cNvPicPr>
                            <a:picLocks noChangeAspect="1" noChangeArrowheads="1"/>
                          </pic:cNvPicPr>
                        </pic:nvPicPr>
                        <pic:blipFill>
                          <a:blip r:embed="rId4"/>
                          <a:srcRect/>
                          <a:stretch>
                            <a:fillRect/>
                          </a:stretch>
                        </pic:blipFill>
                        <pic:spPr bwMode="auto">
                          <a:xfrm>
                            <a:off x="0" y="0"/>
                            <a:ext cx="990600" cy="1001138"/>
                          </a:xfrm>
                          <a:prstGeom prst="rect">
                            <a:avLst/>
                          </a:prstGeom>
                          <a:noFill/>
                          <a:ln w="9525">
                            <a:noFill/>
                            <a:miter lim="800000"/>
                            <a:headEnd/>
                            <a:tailEnd/>
                          </a:ln>
                        </pic:spPr>
                      </pic:pic>
                    </a:graphicData>
                  </a:graphic>
                </wp:inline>
              </w:drawing>
            </w:r>
          </w:p>
        </w:tc>
        <w:tc>
          <w:tcPr>
            <w:tcW w:w="3192" w:type="dxa"/>
            <w:vAlign w:val="center"/>
          </w:tcPr>
          <w:p w:rsidR="006C0FB8" w:rsidRDefault="006C0FB8" w:rsidP="006C0FB8">
            <w:pPr>
              <w:jc w:val="center"/>
              <w:rPr>
                <w:b/>
                <w:sz w:val="44"/>
                <w:szCs w:val="44"/>
              </w:rPr>
            </w:pPr>
            <w:r w:rsidRPr="00522068">
              <w:rPr>
                <w:b/>
                <w:sz w:val="44"/>
                <w:szCs w:val="44"/>
              </w:rPr>
              <w:t>Research</w:t>
            </w:r>
            <w:r w:rsidR="00522068">
              <w:rPr>
                <w:b/>
                <w:sz w:val="44"/>
                <w:szCs w:val="44"/>
              </w:rPr>
              <w:t xml:space="preserve"> -</w:t>
            </w:r>
          </w:p>
          <w:p w:rsidR="00522068" w:rsidRPr="00522068" w:rsidRDefault="00522068" w:rsidP="006C0FB8">
            <w:pPr>
              <w:jc w:val="center"/>
              <w:rPr>
                <w:b/>
                <w:sz w:val="44"/>
                <w:szCs w:val="44"/>
              </w:rPr>
            </w:pPr>
            <w:r>
              <w:rPr>
                <w:b/>
                <w:sz w:val="44"/>
                <w:szCs w:val="44"/>
              </w:rPr>
              <w:t>Information Acquisition</w:t>
            </w:r>
          </w:p>
        </w:tc>
        <w:tc>
          <w:tcPr>
            <w:tcW w:w="3192" w:type="dxa"/>
          </w:tcPr>
          <w:p w:rsidR="006C0FB8" w:rsidRDefault="006C0FB8" w:rsidP="006C0FB8">
            <w:pPr>
              <w:jc w:val="center"/>
              <w:rPr>
                <w:b/>
                <w:sz w:val="28"/>
                <w:szCs w:val="28"/>
              </w:rPr>
            </w:pPr>
            <w:r>
              <w:rPr>
                <w:b/>
                <w:noProof/>
                <w:sz w:val="28"/>
                <w:szCs w:val="28"/>
              </w:rPr>
              <w:drawing>
                <wp:inline distT="0" distB="0" distL="0" distR="0">
                  <wp:extent cx="1343025" cy="1203127"/>
                  <wp:effectExtent l="19050" t="0" r="9525" b="0"/>
                  <wp:docPr id="5" name="Picture 2" descr="C:\Documents and Settings\ryeatts\Local Settings\Temporary Internet Files\Content.IE5\NAKFRT8P\MCj043988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yeatts\Local Settings\Temporary Internet Files\Content.IE5\NAKFRT8P\MCj04398830000[1].wmf"/>
                          <pic:cNvPicPr>
                            <a:picLocks noChangeAspect="1" noChangeArrowheads="1"/>
                          </pic:cNvPicPr>
                        </pic:nvPicPr>
                        <pic:blipFill>
                          <a:blip r:embed="rId5"/>
                          <a:srcRect/>
                          <a:stretch>
                            <a:fillRect/>
                          </a:stretch>
                        </pic:blipFill>
                        <pic:spPr bwMode="auto">
                          <a:xfrm>
                            <a:off x="0" y="0"/>
                            <a:ext cx="1343025" cy="1203127"/>
                          </a:xfrm>
                          <a:prstGeom prst="rect">
                            <a:avLst/>
                          </a:prstGeom>
                          <a:noFill/>
                          <a:ln w="9525">
                            <a:noFill/>
                            <a:miter lim="800000"/>
                            <a:headEnd/>
                            <a:tailEnd/>
                          </a:ln>
                        </pic:spPr>
                      </pic:pic>
                    </a:graphicData>
                  </a:graphic>
                </wp:inline>
              </w:drawing>
            </w:r>
          </w:p>
          <w:p w:rsidR="006C0FB8" w:rsidRDefault="006C0FB8" w:rsidP="006C0FB8">
            <w:pPr>
              <w:jc w:val="center"/>
              <w:rPr>
                <w:b/>
                <w:sz w:val="28"/>
                <w:szCs w:val="28"/>
              </w:rPr>
            </w:pPr>
          </w:p>
        </w:tc>
      </w:tr>
    </w:tbl>
    <w:p w:rsidR="003A17A7" w:rsidRDefault="003A17A7">
      <w:pPr>
        <w:rPr>
          <w:sz w:val="24"/>
          <w:szCs w:val="24"/>
        </w:rPr>
      </w:pPr>
      <w:r w:rsidRPr="006C0FB8">
        <w:rPr>
          <w:sz w:val="24"/>
          <w:szCs w:val="24"/>
        </w:rPr>
        <w:t xml:space="preserve">Adequate planning is necessary for a favorable Internet experience while in the computer lab. Websites should be bookmarked on the teacher’s webpage or school’s website so students can readily access the appropriate websites. It is imperative to make sure the websites are accessible </w:t>
      </w:r>
      <w:r w:rsidR="0030378B">
        <w:rPr>
          <w:sz w:val="24"/>
          <w:szCs w:val="24"/>
        </w:rPr>
        <w:t>to</w:t>
      </w:r>
      <w:r w:rsidR="003B14D3">
        <w:rPr>
          <w:sz w:val="24"/>
          <w:szCs w:val="24"/>
        </w:rPr>
        <w:t xml:space="preserve"> the students, not blocked by the </w:t>
      </w:r>
      <w:r w:rsidRPr="006C0FB8">
        <w:rPr>
          <w:sz w:val="24"/>
          <w:szCs w:val="24"/>
        </w:rPr>
        <w:t>district’s web filter</w:t>
      </w:r>
      <w:r w:rsidR="003B14D3">
        <w:rPr>
          <w:sz w:val="24"/>
          <w:szCs w:val="24"/>
        </w:rPr>
        <w:t>,</w:t>
      </w:r>
      <w:r w:rsidRPr="006C0FB8">
        <w:rPr>
          <w:sz w:val="24"/>
          <w:szCs w:val="24"/>
        </w:rPr>
        <w:t xml:space="preserve"> prior to going to the lab</w:t>
      </w:r>
      <w:r w:rsidR="0030378B">
        <w:rPr>
          <w:sz w:val="24"/>
          <w:szCs w:val="24"/>
        </w:rPr>
        <w:t xml:space="preserve"> since they have different Internet restrictions than teachers</w:t>
      </w:r>
      <w:r w:rsidRPr="006C0FB8">
        <w:rPr>
          <w:sz w:val="24"/>
          <w:szCs w:val="24"/>
        </w:rPr>
        <w:t xml:space="preserve">. You can do this by using the generic </w:t>
      </w:r>
      <w:proofErr w:type="spellStart"/>
      <w:r w:rsidRPr="006C0FB8">
        <w:rPr>
          <w:sz w:val="24"/>
          <w:szCs w:val="24"/>
        </w:rPr>
        <w:t>webstudent</w:t>
      </w:r>
      <w:proofErr w:type="spellEnd"/>
      <w:r w:rsidRPr="006C0FB8">
        <w:rPr>
          <w:sz w:val="24"/>
          <w:szCs w:val="24"/>
        </w:rPr>
        <w:t xml:space="preserve"> account provided by the district. See your technology facilitator for the password and acceptable use for this account.</w:t>
      </w:r>
    </w:p>
    <w:tbl>
      <w:tblPr>
        <w:tblStyle w:val="TableGrid"/>
        <w:tblW w:w="10800" w:type="dxa"/>
        <w:tblLook w:val="04A0"/>
      </w:tblPr>
      <w:tblGrid>
        <w:gridCol w:w="6768"/>
        <w:gridCol w:w="2880"/>
        <w:gridCol w:w="1152"/>
      </w:tblGrid>
      <w:tr w:rsidR="006C0FB8" w:rsidTr="00F47C42">
        <w:tc>
          <w:tcPr>
            <w:tcW w:w="6768" w:type="dxa"/>
            <w:vAlign w:val="center"/>
          </w:tcPr>
          <w:p w:rsidR="006C0FB8" w:rsidRDefault="006C0FB8" w:rsidP="006C0FB8">
            <w:pPr>
              <w:jc w:val="center"/>
              <w:rPr>
                <w:sz w:val="24"/>
                <w:szCs w:val="24"/>
              </w:rPr>
            </w:pPr>
            <w:proofErr w:type="spellStart"/>
            <w:r>
              <w:rPr>
                <w:sz w:val="24"/>
                <w:szCs w:val="24"/>
              </w:rPr>
              <w:t>Activitity</w:t>
            </w:r>
            <w:proofErr w:type="spellEnd"/>
          </w:p>
        </w:tc>
        <w:tc>
          <w:tcPr>
            <w:tcW w:w="2880" w:type="dxa"/>
            <w:vAlign w:val="center"/>
          </w:tcPr>
          <w:p w:rsidR="00A02556" w:rsidRDefault="0036678C" w:rsidP="00A02556">
            <w:pPr>
              <w:jc w:val="center"/>
              <w:rPr>
                <w:sz w:val="24"/>
                <w:szCs w:val="24"/>
              </w:rPr>
            </w:pPr>
            <w:r>
              <w:rPr>
                <w:sz w:val="24"/>
                <w:szCs w:val="24"/>
              </w:rPr>
              <w:t>Tech</w:t>
            </w:r>
            <w:r w:rsidR="00221241">
              <w:rPr>
                <w:sz w:val="24"/>
                <w:szCs w:val="24"/>
              </w:rPr>
              <w:t>nology</w:t>
            </w:r>
            <w:r>
              <w:rPr>
                <w:sz w:val="24"/>
                <w:szCs w:val="24"/>
              </w:rPr>
              <w:t xml:space="preserve"> App</w:t>
            </w:r>
            <w:r w:rsidR="00221241">
              <w:rPr>
                <w:sz w:val="24"/>
                <w:szCs w:val="24"/>
              </w:rPr>
              <w:t>lication</w:t>
            </w:r>
          </w:p>
          <w:p w:rsidR="00A02556" w:rsidRDefault="0036678C" w:rsidP="00A02556">
            <w:pPr>
              <w:jc w:val="center"/>
              <w:rPr>
                <w:sz w:val="24"/>
                <w:szCs w:val="24"/>
              </w:rPr>
            </w:pPr>
            <w:r>
              <w:rPr>
                <w:sz w:val="24"/>
                <w:szCs w:val="24"/>
              </w:rPr>
              <w:t>TEKS</w:t>
            </w:r>
            <w:r w:rsidR="00221241">
              <w:rPr>
                <w:sz w:val="24"/>
                <w:szCs w:val="24"/>
              </w:rPr>
              <w:t xml:space="preserve"> 126.12</w:t>
            </w:r>
          </w:p>
          <w:p w:rsidR="006C0FB8" w:rsidRDefault="00221241" w:rsidP="00A02556">
            <w:pPr>
              <w:jc w:val="center"/>
              <w:rPr>
                <w:sz w:val="24"/>
                <w:szCs w:val="24"/>
              </w:rPr>
            </w:pPr>
            <w:r>
              <w:rPr>
                <w:sz w:val="24"/>
                <w:szCs w:val="24"/>
              </w:rPr>
              <w:t>(Grades 6-8 )</w:t>
            </w:r>
          </w:p>
        </w:tc>
        <w:tc>
          <w:tcPr>
            <w:tcW w:w="1152" w:type="dxa"/>
            <w:vAlign w:val="center"/>
          </w:tcPr>
          <w:p w:rsidR="006C0FB8" w:rsidRDefault="0036678C" w:rsidP="00A02556">
            <w:pPr>
              <w:jc w:val="center"/>
              <w:rPr>
                <w:sz w:val="24"/>
                <w:szCs w:val="24"/>
              </w:rPr>
            </w:pPr>
            <w:r>
              <w:rPr>
                <w:sz w:val="24"/>
                <w:szCs w:val="24"/>
              </w:rPr>
              <w:t>NETS</w:t>
            </w:r>
          </w:p>
        </w:tc>
      </w:tr>
      <w:tr w:rsidR="0036678C" w:rsidTr="00F47C42">
        <w:tc>
          <w:tcPr>
            <w:tcW w:w="6768" w:type="dxa"/>
          </w:tcPr>
          <w:p w:rsidR="0036678C" w:rsidRPr="00F47C42" w:rsidRDefault="0036678C">
            <w:pPr>
              <w:rPr>
                <w:sz w:val="24"/>
                <w:szCs w:val="24"/>
              </w:rPr>
            </w:pPr>
            <w:r w:rsidRPr="00F47C42">
              <w:rPr>
                <w:sz w:val="24"/>
                <w:szCs w:val="24"/>
              </w:rPr>
              <w:t xml:space="preserve">Use terminology related to the Internet appropriately (URL-Uniform Resource Locators, electronic bookmarks, LAN-local area networks, WAN- wide area networks, WWW-World Wide Web,  and HTML- </w:t>
            </w:r>
            <w:proofErr w:type="spellStart"/>
            <w:r w:rsidRPr="00F47C42">
              <w:rPr>
                <w:sz w:val="24"/>
                <w:szCs w:val="24"/>
              </w:rPr>
              <w:t>HyperText</w:t>
            </w:r>
            <w:proofErr w:type="spellEnd"/>
            <w:r w:rsidRPr="00F47C42">
              <w:rPr>
                <w:sz w:val="24"/>
                <w:szCs w:val="24"/>
              </w:rPr>
              <w:t xml:space="preserve"> Markup Language</w:t>
            </w:r>
          </w:p>
        </w:tc>
        <w:tc>
          <w:tcPr>
            <w:tcW w:w="2880" w:type="dxa"/>
          </w:tcPr>
          <w:p w:rsidR="0036678C" w:rsidRDefault="0036678C" w:rsidP="00A02556">
            <w:pPr>
              <w:jc w:val="center"/>
              <w:rPr>
                <w:sz w:val="24"/>
                <w:szCs w:val="24"/>
              </w:rPr>
            </w:pPr>
            <w:r>
              <w:rPr>
                <w:sz w:val="24"/>
                <w:szCs w:val="24"/>
              </w:rPr>
              <w:t>Foundations 1H</w:t>
            </w:r>
          </w:p>
        </w:tc>
        <w:tc>
          <w:tcPr>
            <w:tcW w:w="1152" w:type="dxa"/>
          </w:tcPr>
          <w:p w:rsidR="0036678C" w:rsidRDefault="0036678C" w:rsidP="00A02556">
            <w:pPr>
              <w:jc w:val="center"/>
              <w:rPr>
                <w:sz w:val="24"/>
                <w:szCs w:val="24"/>
              </w:rPr>
            </w:pPr>
          </w:p>
        </w:tc>
      </w:tr>
      <w:tr w:rsidR="0036678C" w:rsidTr="00F47C42">
        <w:tc>
          <w:tcPr>
            <w:tcW w:w="6768" w:type="dxa"/>
          </w:tcPr>
          <w:p w:rsidR="0036678C" w:rsidRPr="00F47C42" w:rsidRDefault="0036678C" w:rsidP="00221241">
            <w:pPr>
              <w:rPr>
                <w:sz w:val="24"/>
                <w:szCs w:val="24"/>
              </w:rPr>
            </w:pPr>
            <w:r w:rsidRPr="00F47C42">
              <w:rPr>
                <w:sz w:val="24"/>
                <w:szCs w:val="24"/>
              </w:rPr>
              <w:t>Discuss copyright laws/issues and model ethical acquisition and use of digital information, citing sources using established methods</w:t>
            </w:r>
          </w:p>
        </w:tc>
        <w:tc>
          <w:tcPr>
            <w:tcW w:w="2880" w:type="dxa"/>
          </w:tcPr>
          <w:p w:rsidR="0036678C" w:rsidRDefault="00221241" w:rsidP="00A02556">
            <w:pPr>
              <w:jc w:val="center"/>
              <w:rPr>
                <w:sz w:val="24"/>
                <w:szCs w:val="24"/>
              </w:rPr>
            </w:pPr>
            <w:r>
              <w:rPr>
                <w:sz w:val="24"/>
                <w:szCs w:val="24"/>
              </w:rPr>
              <w:t>Foundations 3A</w:t>
            </w:r>
          </w:p>
        </w:tc>
        <w:tc>
          <w:tcPr>
            <w:tcW w:w="1152" w:type="dxa"/>
          </w:tcPr>
          <w:p w:rsidR="0036678C" w:rsidRDefault="0036678C" w:rsidP="00A02556">
            <w:pPr>
              <w:jc w:val="center"/>
              <w:rPr>
                <w:sz w:val="24"/>
                <w:szCs w:val="24"/>
              </w:rPr>
            </w:pPr>
          </w:p>
        </w:tc>
      </w:tr>
      <w:tr w:rsidR="0036678C" w:rsidTr="00F47C42">
        <w:tc>
          <w:tcPr>
            <w:tcW w:w="6768" w:type="dxa"/>
          </w:tcPr>
          <w:p w:rsidR="0036678C" w:rsidRPr="00F47C42" w:rsidRDefault="00221241">
            <w:pPr>
              <w:rPr>
                <w:sz w:val="24"/>
                <w:szCs w:val="24"/>
              </w:rPr>
            </w:pPr>
            <w:r w:rsidRPr="00F47C42">
              <w:rPr>
                <w:sz w:val="24"/>
                <w:szCs w:val="24"/>
              </w:rPr>
              <w:t>demonstrate proper etiquette and knowledge of acceptable use while in an individual classroom, lab, or on the Internet and intranet</w:t>
            </w:r>
          </w:p>
        </w:tc>
        <w:tc>
          <w:tcPr>
            <w:tcW w:w="2880" w:type="dxa"/>
          </w:tcPr>
          <w:p w:rsidR="0036678C" w:rsidRDefault="00221241" w:rsidP="00A02556">
            <w:pPr>
              <w:jc w:val="center"/>
              <w:rPr>
                <w:sz w:val="24"/>
                <w:szCs w:val="24"/>
              </w:rPr>
            </w:pPr>
            <w:r>
              <w:rPr>
                <w:sz w:val="24"/>
                <w:szCs w:val="24"/>
              </w:rPr>
              <w:t>Foundations 3B</w:t>
            </w:r>
          </w:p>
        </w:tc>
        <w:tc>
          <w:tcPr>
            <w:tcW w:w="1152" w:type="dxa"/>
          </w:tcPr>
          <w:p w:rsidR="0036678C" w:rsidRDefault="00F47C42" w:rsidP="00A02556">
            <w:pPr>
              <w:jc w:val="center"/>
              <w:rPr>
                <w:sz w:val="24"/>
                <w:szCs w:val="24"/>
              </w:rPr>
            </w:pPr>
            <w:r>
              <w:rPr>
                <w:sz w:val="24"/>
                <w:szCs w:val="24"/>
              </w:rPr>
              <w:t>3B</w:t>
            </w:r>
          </w:p>
        </w:tc>
      </w:tr>
      <w:tr w:rsidR="0036678C" w:rsidTr="00F47C42">
        <w:tc>
          <w:tcPr>
            <w:tcW w:w="6768" w:type="dxa"/>
          </w:tcPr>
          <w:p w:rsidR="0036678C" w:rsidRPr="00F47C42" w:rsidRDefault="00221241">
            <w:pPr>
              <w:rPr>
                <w:rFonts w:ascii="Comic Sans MS" w:hAnsi="Comic Sans MS"/>
                <w:sz w:val="24"/>
                <w:szCs w:val="24"/>
              </w:rPr>
            </w:pPr>
            <w:r w:rsidRPr="00F47C42">
              <w:rPr>
                <w:sz w:val="24"/>
                <w:szCs w:val="24"/>
              </w:rPr>
              <w:t>describe the consequences regarding copyright violations including, but not limited to, computer hacking, computer piracy, intentional virus setting, and invasion of privacy</w:t>
            </w:r>
          </w:p>
        </w:tc>
        <w:tc>
          <w:tcPr>
            <w:tcW w:w="2880" w:type="dxa"/>
          </w:tcPr>
          <w:p w:rsidR="0036678C" w:rsidRDefault="00221241" w:rsidP="00A02556">
            <w:pPr>
              <w:jc w:val="center"/>
              <w:rPr>
                <w:sz w:val="24"/>
                <w:szCs w:val="24"/>
              </w:rPr>
            </w:pPr>
            <w:r>
              <w:rPr>
                <w:sz w:val="24"/>
                <w:szCs w:val="24"/>
              </w:rPr>
              <w:t>Foundations 3C</w:t>
            </w:r>
          </w:p>
        </w:tc>
        <w:tc>
          <w:tcPr>
            <w:tcW w:w="1152" w:type="dxa"/>
          </w:tcPr>
          <w:p w:rsidR="0036678C" w:rsidRDefault="0036678C" w:rsidP="00A02556">
            <w:pPr>
              <w:jc w:val="center"/>
              <w:rPr>
                <w:sz w:val="24"/>
                <w:szCs w:val="24"/>
              </w:rPr>
            </w:pPr>
          </w:p>
        </w:tc>
      </w:tr>
      <w:tr w:rsidR="0036678C" w:rsidTr="00F47C42">
        <w:tc>
          <w:tcPr>
            <w:tcW w:w="6768" w:type="dxa"/>
          </w:tcPr>
          <w:p w:rsidR="0036678C" w:rsidRPr="00F47C42" w:rsidRDefault="00221241">
            <w:pPr>
              <w:rPr>
                <w:sz w:val="24"/>
                <w:szCs w:val="24"/>
              </w:rPr>
            </w:pPr>
            <w:r w:rsidRPr="00F47C42">
              <w:rPr>
                <w:sz w:val="24"/>
                <w:szCs w:val="24"/>
              </w:rPr>
              <w:t>use strategies to locate and acquire desired information on LANs and WANs, including the Internet, intranet, and collaborative software</w:t>
            </w:r>
          </w:p>
        </w:tc>
        <w:tc>
          <w:tcPr>
            <w:tcW w:w="2880" w:type="dxa"/>
          </w:tcPr>
          <w:p w:rsidR="0036678C" w:rsidRDefault="00A02556" w:rsidP="00A02556">
            <w:pPr>
              <w:jc w:val="center"/>
              <w:rPr>
                <w:sz w:val="24"/>
                <w:szCs w:val="24"/>
              </w:rPr>
            </w:pPr>
            <w:r>
              <w:rPr>
                <w:sz w:val="24"/>
                <w:szCs w:val="24"/>
              </w:rPr>
              <w:t>Information Acquisition</w:t>
            </w:r>
            <w:r w:rsidR="00221241">
              <w:rPr>
                <w:sz w:val="24"/>
                <w:szCs w:val="24"/>
              </w:rPr>
              <w:t xml:space="preserve"> 4A</w:t>
            </w:r>
          </w:p>
        </w:tc>
        <w:tc>
          <w:tcPr>
            <w:tcW w:w="1152" w:type="dxa"/>
          </w:tcPr>
          <w:p w:rsidR="0036678C" w:rsidRDefault="006D0D06" w:rsidP="00A02556">
            <w:pPr>
              <w:jc w:val="center"/>
              <w:rPr>
                <w:sz w:val="24"/>
                <w:szCs w:val="24"/>
              </w:rPr>
            </w:pPr>
            <w:r>
              <w:rPr>
                <w:sz w:val="24"/>
                <w:szCs w:val="24"/>
              </w:rPr>
              <w:t>3B, 4C</w:t>
            </w:r>
          </w:p>
        </w:tc>
      </w:tr>
      <w:tr w:rsidR="0036678C" w:rsidTr="00F47C42">
        <w:tc>
          <w:tcPr>
            <w:tcW w:w="6768" w:type="dxa"/>
          </w:tcPr>
          <w:p w:rsidR="0036678C" w:rsidRPr="00F47C42" w:rsidRDefault="00221241" w:rsidP="00A02556">
            <w:pPr>
              <w:pStyle w:val="NormalWeb"/>
              <w:rPr>
                <w:rFonts w:asciiTheme="minorHAnsi" w:hAnsiTheme="minorHAnsi"/>
              </w:rPr>
            </w:pPr>
            <w:r w:rsidRPr="00F47C42">
              <w:rPr>
                <w:rFonts w:asciiTheme="minorHAnsi" w:hAnsiTheme="minorHAnsi"/>
              </w:rPr>
              <w:t>apply appropriate electronic search strategies in the acquisition of information including keyword and Boolean search strategies</w:t>
            </w:r>
          </w:p>
        </w:tc>
        <w:tc>
          <w:tcPr>
            <w:tcW w:w="2880" w:type="dxa"/>
          </w:tcPr>
          <w:p w:rsidR="0036678C" w:rsidRDefault="00A02556" w:rsidP="00A02556">
            <w:pPr>
              <w:jc w:val="center"/>
              <w:rPr>
                <w:sz w:val="24"/>
                <w:szCs w:val="24"/>
              </w:rPr>
            </w:pPr>
            <w:r>
              <w:rPr>
                <w:sz w:val="24"/>
                <w:szCs w:val="24"/>
              </w:rPr>
              <w:t>Information Acquisition</w:t>
            </w:r>
            <w:r w:rsidR="00221241">
              <w:rPr>
                <w:sz w:val="24"/>
                <w:szCs w:val="24"/>
              </w:rPr>
              <w:t xml:space="preserve"> 4B</w:t>
            </w:r>
          </w:p>
        </w:tc>
        <w:tc>
          <w:tcPr>
            <w:tcW w:w="1152" w:type="dxa"/>
          </w:tcPr>
          <w:p w:rsidR="0036678C" w:rsidRDefault="0036678C" w:rsidP="00A02556">
            <w:pPr>
              <w:jc w:val="center"/>
              <w:rPr>
                <w:sz w:val="24"/>
                <w:szCs w:val="24"/>
              </w:rPr>
            </w:pPr>
          </w:p>
        </w:tc>
      </w:tr>
      <w:tr w:rsidR="00221241" w:rsidTr="00F47C42">
        <w:tc>
          <w:tcPr>
            <w:tcW w:w="6768" w:type="dxa"/>
          </w:tcPr>
          <w:p w:rsidR="00221241" w:rsidRPr="00F47C42" w:rsidRDefault="00221241" w:rsidP="00221241">
            <w:pPr>
              <w:pStyle w:val="NormalWeb"/>
              <w:rPr>
                <w:rFonts w:asciiTheme="minorHAnsi" w:hAnsiTheme="minorHAnsi"/>
              </w:rPr>
            </w:pPr>
            <w:r w:rsidRPr="00F47C42">
              <w:rPr>
                <w:rFonts w:asciiTheme="minorHAnsi" w:hAnsiTheme="minorHAnsi"/>
              </w:rPr>
              <w:t>demonstrate the ability to access, operate, and manipulate information from secondary storage and remote devices including CD-ROM/laser discs and on-line catalogs</w:t>
            </w:r>
          </w:p>
        </w:tc>
        <w:tc>
          <w:tcPr>
            <w:tcW w:w="2880" w:type="dxa"/>
          </w:tcPr>
          <w:p w:rsidR="00221241" w:rsidRDefault="00221241" w:rsidP="00A02556">
            <w:pPr>
              <w:jc w:val="center"/>
              <w:rPr>
                <w:sz w:val="24"/>
                <w:szCs w:val="24"/>
              </w:rPr>
            </w:pPr>
            <w:r>
              <w:rPr>
                <w:sz w:val="24"/>
                <w:szCs w:val="24"/>
              </w:rPr>
              <w:t xml:space="preserve">Information Acquisition </w:t>
            </w:r>
            <w:r w:rsidR="00A02556">
              <w:rPr>
                <w:sz w:val="24"/>
                <w:szCs w:val="24"/>
              </w:rPr>
              <w:t>5B</w:t>
            </w:r>
          </w:p>
        </w:tc>
        <w:tc>
          <w:tcPr>
            <w:tcW w:w="1152" w:type="dxa"/>
          </w:tcPr>
          <w:p w:rsidR="00221241" w:rsidRDefault="00221241" w:rsidP="00A02556">
            <w:pPr>
              <w:jc w:val="center"/>
              <w:rPr>
                <w:sz w:val="24"/>
                <w:szCs w:val="24"/>
              </w:rPr>
            </w:pPr>
          </w:p>
        </w:tc>
      </w:tr>
      <w:tr w:rsidR="00A02556" w:rsidTr="00F47C42">
        <w:tc>
          <w:tcPr>
            <w:tcW w:w="6768" w:type="dxa"/>
          </w:tcPr>
          <w:p w:rsidR="00A02556" w:rsidRPr="00F47C42" w:rsidRDefault="00A02556" w:rsidP="00221241">
            <w:pPr>
              <w:pStyle w:val="NormalWeb"/>
              <w:rPr>
                <w:rFonts w:asciiTheme="minorHAnsi" w:hAnsiTheme="minorHAnsi"/>
              </w:rPr>
            </w:pPr>
            <w:proofErr w:type="gramStart"/>
            <w:r w:rsidRPr="00F47C42">
              <w:rPr>
                <w:rFonts w:asciiTheme="minorHAnsi" w:hAnsiTheme="minorHAnsi"/>
              </w:rPr>
              <w:t>use</w:t>
            </w:r>
            <w:proofErr w:type="gramEnd"/>
            <w:r w:rsidRPr="00F47C42">
              <w:rPr>
                <w:rFonts w:asciiTheme="minorHAnsi" w:hAnsiTheme="minorHAnsi"/>
              </w:rPr>
              <w:t xml:space="preserve"> on-line help and other documentation.</w:t>
            </w:r>
          </w:p>
        </w:tc>
        <w:tc>
          <w:tcPr>
            <w:tcW w:w="2880" w:type="dxa"/>
          </w:tcPr>
          <w:p w:rsidR="00A02556" w:rsidRDefault="00A02556" w:rsidP="00A02556">
            <w:pPr>
              <w:jc w:val="center"/>
              <w:rPr>
                <w:sz w:val="24"/>
                <w:szCs w:val="24"/>
              </w:rPr>
            </w:pPr>
            <w:r>
              <w:rPr>
                <w:sz w:val="24"/>
                <w:szCs w:val="24"/>
              </w:rPr>
              <w:t>Information Acquisition 5C</w:t>
            </w:r>
          </w:p>
        </w:tc>
        <w:tc>
          <w:tcPr>
            <w:tcW w:w="1152" w:type="dxa"/>
          </w:tcPr>
          <w:p w:rsidR="00A02556" w:rsidRDefault="00A02556" w:rsidP="00A02556">
            <w:pPr>
              <w:jc w:val="center"/>
              <w:rPr>
                <w:sz w:val="24"/>
                <w:szCs w:val="24"/>
              </w:rPr>
            </w:pPr>
          </w:p>
        </w:tc>
      </w:tr>
      <w:tr w:rsidR="00A02556" w:rsidTr="00F47C42">
        <w:tc>
          <w:tcPr>
            <w:tcW w:w="6768" w:type="dxa"/>
          </w:tcPr>
          <w:p w:rsidR="00A02556" w:rsidRPr="00F47C42" w:rsidRDefault="00A02556" w:rsidP="00221241">
            <w:pPr>
              <w:pStyle w:val="NormalWeb"/>
              <w:rPr>
                <w:rFonts w:asciiTheme="minorHAnsi" w:hAnsiTheme="minorHAnsi"/>
              </w:rPr>
            </w:pPr>
            <w:r w:rsidRPr="00F47C42">
              <w:rPr>
                <w:rFonts w:asciiTheme="minorHAnsi" w:hAnsiTheme="minorHAnsi"/>
              </w:rPr>
              <w:t>determine and employ methods to evaluate the electronic information for accuracy and validity</w:t>
            </w:r>
          </w:p>
        </w:tc>
        <w:tc>
          <w:tcPr>
            <w:tcW w:w="2880" w:type="dxa"/>
          </w:tcPr>
          <w:p w:rsidR="00A02556" w:rsidRDefault="00A02556" w:rsidP="00A02556">
            <w:pPr>
              <w:jc w:val="center"/>
              <w:rPr>
                <w:sz w:val="24"/>
                <w:szCs w:val="24"/>
              </w:rPr>
            </w:pPr>
            <w:r>
              <w:rPr>
                <w:sz w:val="24"/>
                <w:szCs w:val="24"/>
              </w:rPr>
              <w:t>Information Acquisition 6A</w:t>
            </w:r>
          </w:p>
        </w:tc>
        <w:tc>
          <w:tcPr>
            <w:tcW w:w="1152" w:type="dxa"/>
          </w:tcPr>
          <w:p w:rsidR="00A02556" w:rsidRDefault="00F47C42" w:rsidP="00A02556">
            <w:pPr>
              <w:jc w:val="center"/>
              <w:rPr>
                <w:sz w:val="24"/>
                <w:szCs w:val="24"/>
              </w:rPr>
            </w:pPr>
            <w:r>
              <w:rPr>
                <w:sz w:val="24"/>
                <w:szCs w:val="24"/>
              </w:rPr>
              <w:t>3B, 3C</w:t>
            </w:r>
          </w:p>
        </w:tc>
      </w:tr>
      <w:tr w:rsidR="00A02556" w:rsidTr="00F47C42">
        <w:tc>
          <w:tcPr>
            <w:tcW w:w="6768" w:type="dxa"/>
          </w:tcPr>
          <w:p w:rsidR="00A02556" w:rsidRPr="00F47C42" w:rsidRDefault="00A02556" w:rsidP="00221241">
            <w:pPr>
              <w:pStyle w:val="NormalWeb"/>
              <w:rPr>
                <w:rFonts w:asciiTheme="minorHAnsi" w:hAnsiTheme="minorHAnsi"/>
              </w:rPr>
            </w:pPr>
            <w:r w:rsidRPr="00F47C42">
              <w:rPr>
                <w:rFonts w:asciiTheme="minorHAnsi" w:hAnsiTheme="minorHAnsi"/>
              </w:rPr>
              <w:t>resolve information conflicts and validate information through accessing, researching, and comparing data</w:t>
            </w:r>
          </w:p>
        </w:tc>
        <w:tc>
          <w:tcPr>
            <w:tcW w:w="2880" w:type="dxa"/>
          </w:tcPr>
          <w:p w:rsidR="00A02556" w:rsidRDefault="00A02556" w:rsidP="00A02556">
            <w:pPr>
              <w:jc w:val="center"/>
              <w:rPr>
                <w:sz w:val="24"/>
                <w:szCs w:val="24"/>
              </w:rPr>
            </w:pPr>
            <w:r>
              <w:rPr>
                <w:sz w:val="24"/>
                <w:szCs w:val="24"/>
              </w:rPr>
              <w:t>Information Acquisition 6B</w:t>
            </w:r>
          </w:p>
        </w:tc>
        <w:tc>
          <w:tcPr>
            <w:tcW w:w="1152" w:type="dxa"/>
          </w:tcPr>
          <w:p w:rsidR="00A02556" w:rsidRDefault="00F47C42" w:rsidP="00A02556">
            <w:pPr>
              <w:jc w:val="center"/>
              <w:rPr>
                <w:sz w:val="24"/>
                <w:szCs w:val="24"/>
              </w:rPr>
            </w:pPr>
            <w:r>
              <w:rPr>
                <w:sz w:val="24"/>
                <w:szCs w:val="24"/>
              </w:rPr>
              <w:t>3B, 3D</w:t>
            </w:r>
          </w:p>
        </w:tc>
      </w:tr>
      <w:tr w:rsidR="00A02556" w:rsidTr="00F47C42">
        <w:tc>
          <w:tcPr>
            <w:tcW w:w="6768" w:type="dxa"/>
          </w:tcPr>
          <w:p w:rsidR="00A02556" w:rsidRPr="00F47C42" w:rsidRDefault="00A02556" w:rsidP="00221241">
            <w:pPr>
              <w:pStyle w:val="NormalWeb"/>
              <w:rPr>
                <w:rFonts w:asciiTheme="minorHAnsi" w:hAnsiTheme="minorHAnsi"/>
              </w:rPr>
            </w:pPr>
            <w:r w:rsidRPr="00F47C42">
              <w:rPr>
                <w:rFonts w:asciiTheme="minorHAnsi" w:hAnsiTheme="minorHAnsi"/>
              </w:rPr>
              <w:t>demonstrate the ability to identify the source, location, media type, relevancy, and content validity of available information</w:t>
            </w:r>
          </w:p>
        </w:tc>
        <w:tc>
          <w:tcPr>
            <w:tcW w:w="2880" w:type="dxa"/>
          </w:tcPr>
          <w:p w:rsidR="00A02556" w:rsidRDefault="00A02556" w:rsidP="00A02556">
            <w:pPr>
              <w:jc w:val="center"/>
              <w:rPr>
                <w:sz w:val="24"/>
                <w:szCs w:val="24"/>
              </w:rPr>
            </w:pPr>
            <w:r>
              <w:rPr>
                <w:sz w:val="24"/>
                <w:szCs w:val="24"/>
              </w:rPr>
              <w:t>Information Acquisition 6C</w:t>
            </w:r>
          </w:p>
        </w:tc>
        <w:tc>
          <w:tcPr>
            <w:tcW w:w="1152" w:type="dxa"/>
          </w:tcPr>
          <w:p w:rsidR="00A02556" w:rsidRDefault="00F47C42" w:rsidP="00A02556">
            <w:pPr>
              <w:jc w:val="center"/>
              <w:rPr>
                <w:sz w:val="24"/>
                <w:szCs w:val="24"/>
              </w:rPr>
            </w:pPr>
            <w:r>
              <w:rPr>
                <w:sz w:val="24"/>
                <w:szCs w:val="24"/>
              </w:rPr>
              <w:t>3C</w:t>
            </w:r>
          </w:p>
        </w:tc>
      </w:tr>
    </w:tbl>
    <w:p w:rsidR="006C0FB8" w:rsidRPr="006C0FB8" w:rsidRDefault="006C0FB8">
      <w:pPr>
        <w:rPr>
          <w:sz w:val="24"/>
          <w:szCs w:val="24"/>
        </w:rPr>
      </w:pPr>
    </w:p>
    <w:sectPr w:rsidR="006C0FB8" w:rsidRPr="006C0FB8" w:rsidSect="002212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A17A7"/>
    <w:rsid w:val="00221241"/>
    <w:rsid w:val="0030378B"/>
    <w:rsid w:val="00323072"/>
    <w:rsid w:val="0036678C"/>
    <w:rsid w:val="003A17A7"/>
    <w:rsid w:val="003B14D3"/>
    <w:rsid w:val="00522068"/>
    <w:rsid w:val="005C0851"/>
    <w:rsid w:val="006C0FB8"/>
    <w:rsid w:val="006D0D06"/>
    <w:rsid w:val="00A02556"/>
    <w:rsid w:val="00E05632"/>
    <w:rsid w:val="00F4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B8"/>
    <w:rPr>
      <w:rFonts w:ascii="Tahoma" w:hAnsi="Tahoma" w:cs="Tahoma"/>
      <w:sz w:val="16"/>
      <w:szCs w:val="16"/>
    </w:rPr>
  </w:style>
  <w:style w:type="table" w:styleId="TableGrid">
    <w:name w:val="Table Grid"/>
    <w:basedOn w:val="TableNormal"/>
    <w:uiPriority w:val="59"/>
    <w:rsid w:val="006C0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212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DentonISD</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ryeatts</dc:creator>
  <cp:keywords/>
  <dc:description/>
  <cp:lastModifiedBy>ryeatts</cp:lastModifiedBy>
  <cp:revision>4</cp:revision>
  <cp:lastPrinted>2009-06-03T15:23:00Z</cp:lastPrinted>
  <dcterms:created xsi:type="dcterms:W3CDTF">2009-06-03T14:09:00Z</dcterms:created>
  <dcterms:modified xsi:type="dcterms:W3CDTF">2009-06-03T17:10:00Z</dcterms:modified>
</cp:coreProperties>
</file>